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w:t>
      </w:r>
      <w:r>
        <w:rPr>
          <w:rFonts w:hint="eastAsia" w:ascii="宋体" w:hAnsi="宋体" w:cs="宋体"/>
          <w:snapToGrid w:val="0"/>
          <w:color w:val="auto"/>
          <w:kern w:val="0"/>
          <w:sz w:val="24"/>
          <w:szCs w:val="24"/>
          <w:lang w:val="en-US" w:eastAsia="zh-CN"/>
        </w:rPr>
        <w:t>龙家村</w:t>
      </w:r>
      <w:r>
        <w:rPr>
          <w:rFonts w:hint="eastAsia" w:ascii="宋体" w:hAnsi="宋体" w:eastAsia="宋体" w:cs="宋体"/>
          <w:snapToGrid w:val="0"/>
          <w:color w:val="auto"/>
          <w:kern w:val="0"/>
          <w:sz w:val="24"/>
          <w:szCs w:val="24"/>
          <w:lang w:val="en-US" w:eastAsia="zh-CN"/>
        </w:rPr>
        <w:t>，村屯内道路四通八达，交通便利，具备良好的施工条件。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w:t>
      </w:r>
      <w:r>
        <w:rPr>
          <w:rFonts w:hint="eastAsia" w:ascii="宋体" w:hAnsi="宋体" w:eastAsia="宋体" w:cs="宋体"/>
          <w:color w:val="auto"/>
          <w:sz w:val="24"/>
          <w:szCs w:val="22"/>
          <w:highlight w:val="none"/>
          <w:lang w:val="en-US" w:eastAsia="zh-CN"/>
        </w:rPr>
        <w:t>及其配套管网</w:t>
      </w:r>
      <w:r>
        <w:rPr>
          <w:rFonts w:hint="eastAsia" w:ascii="宋体" w:hAnsi="宋体" w:eastAsia="宋体" w:cs="宋体"/>
          <w:color w:val="auto"/>
          <w:sz w:val="24"/>
          <w:szCs w:val="22"/>
          <w:highlight w:val="none"/>
          <w:lang w:val="zh-CN"/>
        </w:rPr>
        <w:t>，处理规模为</w:t>
      </w:r>
      <w:r>
        <w:rPr>
          <w:rFonts w:hint="eastAsia" w:ascii="宋体" w:hAnsi="宋体" w:cs="宋体"/>
          <w:color w:val="auto"/>
          <w:sz w:val="24"/>
          <w:szCs w:val="22"/>
          <w:highlight w:val="none"/>
          <w:lang w:val="en-US" w:eastAsia="zh-CN"/>
        </w:rPr>
        <w:t>6</w:t>
      </w:r>
      <w:r>
        <w:rPr>
          <w:rFonts w:hint="eastAsia" w:ascii="宋体" w:hAnsi="宋体" w:eastAsia="宋体" w:cs="宋体"/>
          <w:color w:val="auto"/>
          <w:sz w:val="24"/>
          <w:szCs w:val="22"/>
          <w:highlight w:val="none"/>
          <w:lang w:val="en-US" w:eastAsia="zh-CN"/>
        </w:rPr>
        <w:t>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bookmarkStart w:id="0" w:name="_GoBack"/>
      <w:bookmarkEnd w:id="0"/>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450</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管</w:t>
      </w:r>
      <w:r>
        <w:rPr>
          <w:rFonts w:hint="eastAsia" w:ascii="宋体" w:hAnsi="宋体" w:eastAsia="宋体" w:cs="宋体"/>
          <w:color w:val="auto"/>
          <w:sz w:val="24"/>
          <w:szCs w:val="24"/>
          <w:lang w:val="en-US" w:eastAsia="zh-CN"/>
        </w:rPr>
        <w:t>渠</w:t>
      </w:r>
      <w:r>
        <w:rPr>
          <w:rFonts w:hint="eastAsia" w:ascii="宋体" w:hAnsi="宋体" w:eastAsia="宋体" w:cs="宋体"/>
          <w:color w:val="auto"/>
          <w:sz w:val="24"/>
          <w:szCs w:val="24"/>
        </w:rPr>
        <w:t>设计</w:t>
      </w:r>
    </w:p>
    <w:p w14:paraId="04833F4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设计标准</w:t>
      </w:r>
    </w:p>
    <w:p w14:paraId="0F099498">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本工程排水体制采用雨污分流制的形式。</w:t>
      </w:r>
    </w:p>
    <w:p w14:paraId="597A03DD">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管材及基础</w:t>
      </w:r>
    </w:p>
    <w:p w14:paraId="46063531">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lang w:val="en-US" w:eastAsia="zh-CN"/>
        </w:rPr>
        <w:t>污水主管采用</w:t>
      </w:r>
      <w:r>
        <w:rPr>
          <w:rFonts w:hint="eastAsia" w:ascii="宋体" w:hAnsi="宋体" w:cs="宋体"/>
          <w:snapToGrid w:val="0"/>
          <w:color w:val="auto"/>
          <w:kern w:val="0"/>
          <w:sz w:val="24"/>
          <w:szCs w:val="24"/>
          <w:lang w:val="en-US" w:eastAsia="zh-CN"/>
        </w:rPr>
        <w:t>热镀锌钢管（法兰连接）和聚乙烯（HDPE）缠绕结构壁B型管</w:t>
      </w:r>
      <w:r>
        <w:rPr>
          <w:rFonts w:hint="eastAsia" w:ascii="宋体" w:hAnsi="宋体" w:eastAsia="宋体" w:cs="宋体"/>
          <w:snapToGrid w:val="0"/>
          <w:color w:val="auto"/>
          <w:kern w:val="0"/>
          <w:sz w:val="24"/>
          <w:szCs w:val="24"/>
          <w:lang w:val="en-US" w:eastAsia="zh-CN"/>
        </w:rPr>
        <w:t>，环刚度≥8KN/㎡，橡胶圈承插连接，管材需满足《埋地用聚乙烯（PE）结构壁管道系统 第</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部分：聚乙烯</w:t>
      </w:r>
      <w:r>
        <w:rPr>
          <w:rFonts w:hint="eastAsia" w:ascii="宋体" w:hAnsi="宋体" w:cs="宋体"/>
          <w:snapToGrid w:val="0"/>
          <w:color w:val="auto"/>
          <w:kern w:val="0"/>
          <w:sz w:val="24"/>
          <w:szCs w:val="24"/>
          <w:lang w:val="en-US" w:eastAsia="zh-CN"/>
        </w:rPr>
        <w:t>缠绕结构壁</w:t>
      </w:r>
      <w:r>
        <w:rPr>
          <w:rFonts w:hint="eastAsia" w:ascii="宋体" w:hAnsi="宋体" w:eastAsia="宋体" w:cs="宋体"/>
          <w:snapToGrid w:val="0"/>
          <w:color w:val="auto"/>
          <w:kern w:val="0"/>
          <w:sz w:val="24"/>
          <w:szCs w:val="24"/>
          <w:lang w:val="en-US" w:eastAsia="zh-CN"/>
        </w:rPr>
        <w:t>管材》（GBT19472.</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-201</w:t>
      </w: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val="en-US" w:eastAsia="zh-CN"/>
        </w:rPr>
        <w:t>）的要求。</w:t>
      </w:r>
    </w:p>
    <w:p w14:paraId="31D053E3">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接户管采用UPVC管，粘接连接，管材需满足《</w:t>
      </w:r>
      <w:r>
        <w:rPr>
          <w:rFonts w:hint="eastAsia" w:ascii="宋体" w:hAnsi="宋体" w:eastAsia="宋体" w:cs="宋体"/>
          <w:snapToGrid w:val="0"/>
          <w:color w:val="auto"/>
          <w:kern w:val="0"/>
          <w:sz w:val="24"/>
          <w:szCs w:val="24"/>
          <w:lang w:val="en-US" w:eastAsia="zh-CN"/>
        </w:rPr>
        <w:fldChar w:fldCharType="begin"/>
      </w:r>
      <w:r>
        <w:rPr>
          <w:rFonts w:hint="eastAsia" w:ascii="宋体" w:hAnsi="宋体" w:eastAsia="宋体" w:cs="宋体"/>
          <w:snapToGrid w:val="0"/>
          <w:color w:val="auto"/>
          <w:kern w:val="0"/>
          <w:sz w:val="24"/>
          <w:szCs w:val="24"/>
          <w:lang w:val="en-US" w:eastAsia="zh-CN"/>
        </w:rPr>
        <w:instrText xml:space="preserve"> HYPERLINK "http://www.jianbiaoku.com/webarbs/book/69937/4056506.shtml" \t "http://www.jianbiaoku.com/webarbs/book/69937/_self" </w:instrText>
      </w:r>
      <w:r>
        <w:rPr>
          <w:rFonts w:hint="eastAsia" w:ascii="宋体" w:hAnsi="宋体" w:eastAsia="宋体" w:cs="宋体"/>
          <w:snapToGrid w:val="0"/>
          <w:color w:val="auto"/>
          <w:kern w:val="0"/>
          <w:sz w:val="24"/>
          <w:szCs w:val="24"/>
          <w:lang w:val="en-US" w:eastAsia="zh-CN"/>
        </w:rPr>
        <w:fldChar w:fldCharType="separate"/>
      </w:r>
      <w:r>
        <w:rPr>
          <w:rFonts w:hint="eastAsia" w:ascii="宋体" w:hAnsi="宋体" w:eastAsia="宋体" w:cs="宋体"/>
          <w:snapToGrid w:val="0"/>
          <w:color w:val="auto"/>
          <w:kern w:val="0"/>
          <w:sz w:val="24"/>
          <w:szCs w:val="24"/>
          <w:lang w:val="en-US" w:eastAsia="zh-CN"/>
        </w:rPr>
        <w:t>建筑排水用硬聚氯乙烯(PVC-U)管材</w:t>
      </w:r>
      <w:r>
        <w:rPr>
          <w:rFonts w:hint="eastAsia" w:ascii="宋体" w:hAnsi="宋体" w:eastAsia="宋体" w:cs="宋体"/>
          <w:snapToGrid w:val="0"/>
          <w:color w:val="auto"/>
          <w:kern w:val="0"/>
          <w:sz w:val="24"/>
          <w:szCs w:val="24"/>
          <w:lang w:val="en-US" w:eastAsia="zh-CN"/>
        </w:rPr>
        <w:fldChar w:fldCharType="end"/>
      </w:r>
      <w:r>
        <w:rPr>
          <w:rFonts w:hint="eastAsia" w:ascii="宋体" w:hAnsi="宋体" w:eastAsia="宋体" w:cs="宋体"/>
          <w:snapToGrid w:val="0"/>
          <w:color w:val="auto"/>
          <w:kern w:val="0"/>
          <w:sz w:val="24"/>
          <w:szCs w:val="24"/>
          <w:lang w:val="en-US" w:eastAsia="zh-CN"/>
        </w:rPr>
        <w:t>》（ GB/T5836.1-2018）的要求。</w:t>
      </w:r>
    </w:p>
    <w:p w14:paraId="05C397F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埋地排水管道采用100mm厚</w:t>
      </w:r>
      <w:r>
        <w:rPr>
          <w:rFonts w:hint="eastAsia" w:ascii="宋体" w:hAnsi="宋体" w:cs="宋体"/>
          <w:snapToGrid w:val="0"/>
          <w:color w:val="auto"/>
          <w:kern w:val="0"/>
          <w:sz w:val="24"/>
          <w:szCs w:val="24"/>
          <w:lang w:val="en-US" w:eastAsia="zh-CN"/>
        </w:rPr>
        <w:t>石屑</w:t>
      </w:r>
      <w:r>
        <w:rPr>
          <w:rFonts w:hint="eastAsia" w:ascii="宋体" w:hAnsi="宋体" w:eastAsia="宋体" w:cs="宋体"/>
          <w:snapToGrid w:val="0"/>
          <w:color w:val="auto"/>
          <w:kern w:val="0"/>
          <w:sz w:val="24"/>
          <w:szCs w:val="24"/>
          <w:lang w:val="en-US" w:eastAsia="zh-CN"/>
        </w:rPr>
        <w:t>基础。</w:t>
      </w:r>
    </w:p>
    <w:p w14:paraId="310A62A0">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1</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对于一般土质，应在管底以下原状土地基或回填夯实的地基上铺设一层厚度为100mm的</w:t>
      </w:r>
      <w:r>
        <w:rPr>
          <w:rFonts w:hint="eastAsia" w:ascii="宋体" w:hAnsi="宋体" w:cs="宋体"/>
          <w:snapToGrid w:val="0"/>
          <w:color w:val="auto"/>
          <w:kern w:val="0"/>
          <w:sz w:val="24"/>
          <w:szCs w:val="24"/>
          <w:lang w:val="en-US" w:eastAsia="zh-CN"/>
        </w:rPr>
        <w:t>石屑</w:t>
      </w:r>
      <w:r>
        <w:rPr>
          <w:rFonts w:hint="eastAsia" w:ascii="宋体" w:hAnsi="宋体" w:eastAsia="宋体" w:cs="宋体"/>
          <w:color w:val="auto"/>
          <w:sz w:val="24"/>
          <w:shd w:val="clear" w:color="auto" w:fill="FFFFFF"/>
        </w:rPr>
        <w:t>基础层；</w:t>
      </w:r>
    </w:p>
    <w:p w14:paraId="4703F669">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2</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当地基土质较差时，可采用铺垫厚度不小于200mm的砂砾石基础层，也可分层铺设，下层用粒径5-32mm的碎石，厚度100-150mm，上层铺</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，厚度不小于100mm；</w:t>
      </w:r>
    </w:p>
    <w:p w14:paraId="2506E965">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3</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对于由于管道荷载</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沟槽开挖及回填</w:t>
      </w:r>
    </w:p>
    <w:p w14:paraId="68AB754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管道敷设</w:t>
      </w:r>
    </w:p>
    <w:p w14:paraId="53422FB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重力流主管</w:t>
      </w:r>
      <w:r>
        <w:rPr>
          <w:rFonts w:hint="eastAsia" w:ascii="宋体" w:hAnsi="宋体" w:eastAsia="宋体" w:cs="宋体"/>
          <w:snapToGrid w:val="0"/>
          <w:color w:val="auto"/>
          <w:kern w:val="0"/>
          <w:sz w:val="24"/>
          <w:szCs w:val="24"/>
          <w:lang w:val="en-US" w:eastAsia="zh-CN"/>
        </w:rPr>
        <w:t>不淤流速不小于0.6m/s</w:t>
      </w:r>
      <w:r>
        <w:rPr>
          <w:rFonts w:hint="eastAsia" w:ascii="宋体" w:hAnsi="宋体" w:eastAsia="宋体" w:cs="宋体"/>
          <w:snapToGrid w:val="0"/>
          <w:color w:val="auto"/>
          <w:kern w:val="0"/>
          <w:sz w:val="24"/>
          <w:szCs w:val="24"/>
        </w:rPr>
        <w:t>。</w:t>
      </w:r>
    </w:p>
    <w:p w14:paraId="2CA5678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排水管道均应采用管顶平接，检查井的内径和构造要求应根据管径、埋深、管道的敷设、地面荷载、维护检修等因素按照国标图集</w:t>
      </w:r>
      <w:r>
        <w:rPr>
          <w:rFonts w:hint="eastAsia" w:ascii="宋体" w:hAnsi="宋体" w:cs="宋体"/>
          <w:snapToGrid w:val="0"/>
          <w:color w:val="auto"/>
          <w:kern w:val="0"/>
          <w:sz w:val="24"/>
          <w:szCs w:val="24"/>
          <w:lang w:eastAsia="zh-CN"/>
        </w:rPr>
        <w:t>（22S521）</w:t>
      </w:r>
      <w:r>
        <w:rPr>
          <w:rFonts w:hint="eastAsia" w:ascii="宋体" w:hAnsi="宋体" w:eastAsia="宋体" w:cs="宋体"/>
          <w:snapToGrid w:val="0"/>
          <w:color w:val="auto"/>
          <w:kern w:val="0"/>
          <w:sz w:val="24"/>
          <w:szCs w:val="24"/>
        </w:rPr>
        <w:t>选用。</w:t>
      </w:r>
    </w:p>
    <w:p w14:paraId="1AA80651">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（五）检查井与排水沟</w:t>
      </w:r>
    </w:p>
    <w:p w14:paraId="0A22007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val="en-US" w:eastAsia="zh-CN"/>
        </w:rPr>
        <w:t>1、</w:t>
      </w:r>
      <w:r>
        <w:rPr>
          <w:rFonts w:hint="eastAsia" w:ascii="宋体" w:hAnsi="宋体" w:eastAsia="宋体" w:cs="宋体"/>
          <w:color w:val="auto"/>
          <w:sz w:val="24"/>
          <w:shd w:val="clear" w:color="auto" w:fill="FFFFFF"/>
        </w:rPr>
        <w:t>所有检查井采用</w:t>
      </w:r>
      <w:r>
        <w:rPr>
          <w:rFonts w:hint="eastAsia" w:ascii="宋体" w:hAnsi="宋体" w:eastAsia="宋体" w:cs="宋体"/>
          <w:color w:val="auto"/>
          <w:sz w:val="24"/>
          <w:shd w:val="clear" w:color="auto" w:fill="FFFFFF"/>
          <w:lang w:val="en-US" w:eastAsia="zh-CN"/>
        </w:rPr>
        <w:t>预制钢筋混凝土</w:t>
      </w:r>
      <w:r>
        <w:rPr>
          <w:rFonts w:hint="eastAsia" w:ascii="宋体" w:hAnsi="宋体" w:eastAsia="宋体" w:cs="宋体"/>
          <w:color w:val="auto"/>
          <w:sz w:val="24"/>
          <w:shd w:val="clear" w:color="auto" w:fill="FFFFFF"/>
        </w:rPr>
        <w:t>检查井，位于道路车行道下的检查井井周需加固处理，井周80cm范围内采用二灰砂粒（或二灰碎石）加强，从井底至井顶。</w:t>
      </w:r>
    </w:p>
    <w:p w14:paraId="3E3E4EAF">
      <w:pPr>
        <w:spacing w:line="360" w:lineRule="auto"/>
        <w:ind w:firstLine="480" w:firstLineChars="200"/>
        <w:jc w:val="left"/>
        <w:rPr>
          <w:rFonts w:hint="eastAsia" w:ascii="宋体" w:hAnsi="宋体" w:eastAsia="宋体" w:cs="宋体"/>
          <w:color w:val="auto"/>
        </w:rPr>
      </w:pPr>
      <w:r>
        <w:rPr>
          <w:rFonts w:hint="eastAsia" w:ascii="宋体" w:hAnsi="宋体" w:cs="宋体"/>
          <w:color w:val="auto"/>
          <w:sz w:val="24"/>
          <w:shd w:val="clear" w:color="auto" w:fill="FFFFFF"/>
          <w:lang w:val="en-US" w:eastAsia="zh-CN"/>
        </w:rPr>
        <w:t>2、</w:t>
      </w:r>
      <w:r>
        <w:rPr>
          <w:rFonts w:hint="eastAsia" w:ascii="宋体" w:hAnsi="宋体" w:eastAsia="宋体" w:cs="宋体"/>
          <w:snapToGrid w:val="0"/>
          <w:color w:val="auto"/>
          <w:kern w:val="0"/>
          <w:sz w:val="24"/>
          <w:szCs w:val="24"/>
        </w:rPr>
        <w:t>排水沟采用砖砌，做法详见排水沟做法大样图。</w:t>
      </w:r>
    </w:p>
    <w:p w14:paraId="69E6830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检查井</w:t>
      </w:r>
      <w:r>
        <w:rPr>
          <w:rFonts w:hint="eastAsia" w:ascii="宋体" w:hAnsi="宋体" w:eastAsia="宋体" w:cs="宋体"/>
          <w:snapToGrid w:val="0"/>
          <w:color w:val="auto"/>
          <w:kern w:val="0"/>
          <w:sz w:val="24"/>
          <w:szCs w:val="24"/>
          <w:lang w:val="en-US" w:eastAsia="zh-CN"/>
        </w:rPr>
        <w:t>盖采用</w:t>
      </w:r>
      <w:r>
        <w:rPr>
          <w:rFonts w:hint="eastAsia" w:ascii="宋体" w:hAnsi="宋体" w:cs="宋体"/>
          <w:snapToGrid w:val="0"/>
          <w:color w:val="auto"/>
          <w:kern w:val="0"/>
          <w:sz w:val="24"/>
          <w:szCs w:val="24"/>
          <w:lang w:val="en-US" w:eastAsia="zh-CN"/>
        </w:rPr>
        <w:t>D400</w:t>
      </w:r>
      <w:r>
        <w:rPr>
          <w:rFonts w:hint="eastAsia" w:ascii="宋体" w:hAnsi="宋体" w:eastAsia="宋体" w:cs="宋体"/>
          <w:snapToGrid w:val="0"/>
          <w:color w:val="auto"/>
          <w:kern w:val="0"/>
          <w:sz w:val="24"/>
          <w:szCs w:val="24"/>
          <w:lang w:val="en-US" w:eastAsia="zh-CN"/>
        </w:rPr>
        <w:t>球墨铸铁井盖</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位于农田</w:t>
      </w:r>
      <w:r>
        <w:rPr>
          <w:rFonts w:hint="eastAsia" w:ascii="宋体" w:hAnsi="宋体" w:eastAsia="宋体" w:cs="宋体"/>
          <w:color w:val="auto"/>
          <w:sz w:val="24"/>
          <w:shd w:val="clear" w:color="auto" w:fill="FFFFFF"/>
          <w:lang w:val="en-US" w:eastAsia="zh-CN"/>
        </w:rPr>
        <w:t>中的检查井，井盖面不低于田埂高度；位于绿化带中的检查井，井盖面高于绿化带地表15cm；车行道</w:t>
      </w:r>
      <w:r>
        <w:rPr>
          <w:rFonts w:hint="eastAsia" w:ascii="宋体" w:hAnsi="宋体" w:eastAsia="宋体" w:cs="宋体"/>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所有检查井应安装防坠落网，要求其承载重量不小于</w:t>
      </w:r>
      <w:r>
        <w:rPr>
          <w:rFonts w:hint="eastAsia" w:ascii="宋体" w:hAnsi="宋体" w:eastAsia="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rPr>
        <w:t>KG。</w:t>
      </w:r>
    </w:p>
    <w:p w14:paraId="49251DA3">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施工验收</w:t>
      </w:r>
    </w:p>
    <w:p w14:paraId="12C0EF8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全部污水管</w:t>
      </w:r>
      <w:r>
        <w:rPr>
          <w:rFonts w:hint="eastAsia" w:ascii="宋体" w:hAnsi="宋体" w:eastAsia="宋体" w:cs="宋体"/>
          <w:snapToGrid w:val="0"/>
          <w:color w:val="auto"/>
          <w:kern w:val="0"/>
          <w:sz w:val="24"/>
          <w:szCs w:val="24"/>
          <w:lang w:val="en-US" w:eastAsia="zh-CN"/>
        </w:rPr>
        <w:t>渠</w:t>
      </w:r>
      <w:r>
        <w:rPr>
          <w:rFonts w:hint="eastAsia" w:ascii="宋体" w:hAnsi="宋体" w:eastAsia="宋体" w:cs="宋体"/>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施工注意事项</w:t>
      </w:r>
    </w:p>
    <w:p w14:paraId="077A4A9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9、</w:t>
      </w:r>
      <w:r>
        <w:rPr>
          <w:rFonts w:hint="eastAsia" w:ascii="宋体" w:hAnsi="宋体" w:eastAsia="宋体" w:cs="宋体"/>
          <w:snapToGrid w:val="0"/>
          <w:color w:val="auto"/>
          <w:kern w:val="0"/>
          <w:sz w:val="24"/>
          <w:szCs w:val="24"/>
        </w:rPr>
        <w:t>本说明未尽事宜，按《给水排水管道工程施工及验收规范（GB 50268-2008）》和国标图集</w:t>
      </w:r>
      <w:r>
        <w:rPr>
          <w:rFonts w:hint="eastAsia" w:ascii="宋体" w:hAnsi="宋体" w:eastAsia="宋体" w:cs="宋体"/>
          <w:snapToGrid w:val="0"/>
          <w:color w:val="auto"/>
          <w:kern w:val="0"/>
          <w:sz w:val="24"/>
          <w:szCs w:val="24"/>
          <w:lang w:val="en-US" w:eastAsia="zh-CN"/>
        </w:rPr>
        <w:t>20S515</w:t>
      </w:r>
      <w:r>
        <w:rPr>
          <w:rFonts w:hint="eastAsia" w:ascii="宋体" w:hAnsi="宋体" w:eastAsia="宋体" w:cs="宋体"/>
          <w:snapToGrid w:val="0"/>
          <w:color w:val="auto"/>
          <w:kern w:val="0"/>
          <w:sz w:val="24"/>
          <w:szCs w:val="24"/>
        </w:rPr>
        <w:t>执行。</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w:t>
      </w:r>
      <w:r>
        <w:rPr>
          <w:rFonts w:hint="eastAsia" w:ascii="宋体" w:hAnsi="宋体" w:cs="宋体"/>
          <w:snapToGrid w:val="0"/>
          <w:color w:val="auto"/>
          <w:kern w:val="0"/>
          <w:sz w:val="24"/>
          <w:szCs w:val="24"/>
          <w:highlight w:val="none"/>
          <w:lang w:val="en-US" w:eastAsia="zh-CN"/>
        </w:rPr>
        <w:t>为</w:t>
      </w:r>
      <w:r>
        <w:rPr>
          <w:rFonts w:hint="eastAsia" w:ascii="宋体" w:hAnsi="宋体" w:eastAsia="宋体" w:cs="宋体"/>
          <w:snapToGrid w:val="0"/>
          <w:color w:val="auto"/>
          <w:kern w:val="0"/>
          <w:sz w:val="24"/>
          <w:szCs w:val="24"/>
          <w:highlight w:val="none"/>
          <w:lang w:val="en-US" w:eastAsia="zh-CN"/>
        </w:rPr>
        <w:t>60m3/d。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不锈钢平面格栅，1套，尺寸800×700；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/h，扬程7m，功率370W。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lang w:val="en-US" w:eastAsia="zh-CN"/>
        </w:rPr>
        <w:t>6套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eastAsia="宋体" w:cs="宋体"/>
          <w:snapToGrid w:val="0"/>
          <w:color w:val="auto"/>
          <w:kern w:val="0"/>
          <w:sz w:val="24"/>
          <w:szCs w:val="24"/>
          <w:highlight w:val="none"/>
          <w:lang w:val="en-US" w:eastAsia="zh-CN"/>
        </w:rPr>
        <w:t>6台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w:t>
      </w:r>
      <w:r>
        <w:rPr>
          <w:rFonts w:hint="eastAsia" w:ascii="宋体" w:hAnsi="宋体" w:eastAsia="宋体" w:cs="宋体"/>
          <w:snapToGrid w:val="0"/>
          <w:color w:val="auto"/>
          <w:kern w:val="0"/>
          <w:sz w:val="24"/>
          <w:szCs w:val="24"/>
        </w:rPr>
        <w:t>水计量。</w:t>
      </w:r>
    </w:p>
    <w:p w14:paraId="2F0FC5C0">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设计</w:t>
      </w:r>
      <w:r>
        <w:rPr>
          <w:rFonts w:hint="eastAsia" w:ascii="宋体" w:hAnsi="宋体" w:eastAsia="宋体" w:cs="宋体"/>
          <w:snapToGrid w:val="0"/>
          <w:color w:val="auto"/>
          <w:kern w:val="0"/>
          <w:sz w:val="24"/>
          <w:szCs w:val="24"/>
          <w:lang w:val="en-US" w:eastAsia="zh-CN"/>
        </w:rPr>
        <w:t>规模</w:t>
      </w:r>
      <w:r>
        <w:rPr>
          <w:rFonts w:hint="eastAsia" w:ascii="宋体" w:hAnsi="宋体" w:eastAsia="宋体" w:cs="宋体"/>
          <w:snapToGrid w:val="0"/>
          <w:color w:val="auto"/>
          <w:kern w:val="0"/>
          <w:sz w:val="24"/>
          <w:szCs w:val="24"/>
        </w:rPr>
        <w:t>：Q=</w:t>
      </w:r>
      <w:r>
        <w:rPr>
          <w:rFonts w:hint="eastAsia" w:ascii="宋体" w:hAnsi="宋体" w:eastAsia="宋体" w:cs="宋体"/>
          <w:snapToGrid w:val="0"/>
          <w:color w:val="auto"/>
          <w:kern w:val="0"/>
          <w:sz w:val="24"/>
          <w:szCs w:val="24"/>
          <w:lang w:val="en-US" w:eastAsia="zh-CN"/>
        </w:rPr>
        <w:t>60</w:t>
      </w:r>
      <w:r>
        <w:rPr>
          <w:rFonts w:hint="eastAsia" w:ascii="宋体" w:hAnsi="宋体" w:eastAsia="宋体" w:cs="宋体"/>
          <w:snapToGrid w:val="0"/>
          <w:color w:val="auto"/>
          <w:kern w:val="0"/>
          <w:sz w:val="24"/>
          <w:szCs w:val="24"/>
        </w:rPr>
        <w:t>m</w:t>
      </w:r>
      <w:r>
        <w:rPr>
          <w:rFonts w:hint="eastAsia" w:ascii="宋体" w:hAnsi="宋体" w:eastAsia="宋体" w:cs="宋体"/>
          <w:snapToGrid w:val="0"/>
          <w:color w:val="auto"/>
          <w:kern w:val="0"/>
          <w:sz w:val="24"/>
          <w:szCs w:val="24"/>
          <w:vertAlign w:val="superscript"/>
        </w:rPr>
        <w:t>3</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d</w:t>
      </w:r>
      <w:r>
        <w:rPr>
          <w:rFonts w:hint="eastAsia" w:ascii="宋体" w:hAnsi="宋体" w:eastAsia="宋体" w:cs="宋体"/>
          <w:snapToGrid w:val="0"/>
          <w:color w:val="auto"/>
          <w:kern w:val="0"/>
          <w:sz w:val="24"/>
          <w:szCs w:val="24"/>
        </w:rPr>
        <w:t>。</w:t>
      </w:r>
    </w:p>
    <w:p w14:paraId="5859A32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清水井容积：2m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①</w:t>
      </w:r>
      <w:r>
        <w:rPr>
          <w:rFonts w:hint="eastAsia" w:ascii="宋体" w:hAnsi="宋体" w:eastAsia="宋体" w:cs="宋体"/>
          <w:snapToGrid w:val="0"/>
          <w:color w:val="auto"/>
          <w:kern w:val="0"/>
          <w:sz w:val="24"/>
          <w:szCs w:val="24"/>
          <w:lang w:val="en-US" w:eastAsia="zh-CN"/>
        </w:rPr>
        <w:t>潜污泵，1台，流量5m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/h，扬程7m，功率370W。</w:t>
      </w:r>
    </w:p>
    <w:p w14:paraId="55BACE2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②</w:t>
      </w:r>
      <w:r>
        <w:rPr>
          <w:rFonts w:hint="eastAsia" w:ascii="宋体" w:hAnsi="宋体" w:eastAsia="宋体" w:cs="宋体"/>
          <w:snapToGrid w:val="0"/>
          <w:color w:val="auto"/>
          <w:kern w:val="0"/>
          <w:sz w:val="24"/>
          <w:szCs w:val="24"/>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③</w:t>
      </w:r>
      <w:r>
        <w:rPr>
          <w:rFonts w:hint="eastAsia" w:ascii="宋体" w:hAnsi="宋体" w:eastAsia="宋体" w:cs="宋体"/>
          <w:snapToGrid w:val="0"/>
          <w:color w:val="auto"/>
          <w:kern w:val="0"/>
          <w:sz w:val="24"/>
          <w:szCs w:val="24"/>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工艺</w:t>
      </w:r>
      <w:r>
        <w:rPr>
          <w:rFonts w:hint="eastAsia" w:ascii="宋体" w:hAnsi="宋体" w:eastAsia="宋体" w:cs="宋体"/>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1.35</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桂林市漓江干支流“消劣返清”项目（七星区龙家村）</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D239AA"/>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6A7500"/>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591AF4"/>
    <w:rsid w:val="7B890DF9"/>
    <w:rsid w:val="7B95754E"/>
    <w:rsid w:val="7BC474F6"/>
    <w:rsid w:val="7C574A54"/>
    <w:rsid w:val="7D524288"/>
    <w:rsid w:val="7DC93C6B"/>
    <w:rsid w:val="7DDA3B8E"/>
    <w:rsid w:val="7E4A0D41"/>
    <w:rsid w:val="7EA45F4A"/>
    <w:rsid w:val="7F020B7F"/>
    <w:rsid w:val="7F112BB2"/>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7405</Words>
  <Characters>8550</Characters>
  <Lines>35</Lines>
  <Paragraphs>10</Paragraphs>
  <TotalTime>21</TotalTime>
  <ScaleCrop>false</ScaleCrop>
  <LinksUpToDate>false</LinksUpToDate>
  <CharactersWithSpaces>8594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WPS_1616481126</cp:lastModifiedBy>
  <cp:lastPrinted>2021-10-23T14:55:00Z</cp:lastPrinted>
  <dcterms:modified xsi:type="dcterms:W3CDTF">2025-11-01T04:05:22Z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eyJoZGlkIjoiY2Q5MTM3NzNkMDY4ZTFkZTU2NThmYjFiNGE5OThiMjUiLCJ1c2VySWQiOiIxMTg1NDg1NDU3In0=</vt:lpwstr>
  </property>
</Properties>
</file>